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园艺园林学院关于2020年度三纵项目经费使用说明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按照学校相关要求，2020年我院成立三纵项目“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北方</w:t>
      </w:r>
      <w:r>
        <w:rPr>
          <w:rFonts w:hint="eastAsia" w:ascii="仿宋_GB2312" w:hAnsi="仿宋_GB2312" w:eastAsia="仿宋_GB2312" w:cs="仿宋_GB2312"/>
          <w:sz w:val="30"/>
          <w:szCs w:val="30"/>
        </w:rPr>
        <w:t>寒地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瓜菜种质</w:t>
      </w:r>
      <w:r>
        <w:rPr>
          <w:rFonts w:hint="eastAsia" w:ascii="仿宋_GB2312" w:hAnsi="仿宋_GB2312" w:eastAsia="仿宋_GB2312" w:cs="仿宋_GB2312"/>
          <w:sz w:val="30"/>
          <w:szCs w:val="30"/>
        </w:rPr>
        <w:t>资源创新及轻简化栽培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”科研团队，学校下拨8万元研究经费，根据《黑龙江八一农垦大学科研项目资金管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理办法》及项目滚动要求，经学院学术委员会投票，全票通过，将经费使用办法做如下规定：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项目滚动主要绩效成果完成人：奖励项目经费总额的20%，1.6万元（项目立项当年或者滚动年份一次性奖励，不重复奖励；或者分两年共奖励1.6万元）；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经费50%即4.0万元用于科研成果奖励：</w:t>
      </w: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发表3区SCI 论文，奖励0.4万元；发表2区SCI 论文，奖励0.8万元；发表1区SCI 论文，奖励1.0万元；</w:t>
      </w: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申请发明专利奖励0.2万元/项；</w:t>
      </w:r>
    </w:p>
    <w:p>
      <w:pPr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获省部级科研奖项奖励1.0万元；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20% （1.6万元）用于青年教师学习交流，针对全院无科研项目经费的青年教师，参加会议，学习培训费用。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10%（0.8万元） 用于公共事务支出，基地相关设备耗损更换等。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以上经费使用面向全院教工，成果完成人按照学校科研成果认定相关要求执行。</w:t>
      </w:r>
    </w:p>
    <w:p>
      <w:pPr>
        <w:numPr>
          <w:ilvl w:val="0"/>
          <w:numId w:val="0"/>
        </w:numPr>
        <w:ind w:leftChars="0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本使用说明只针对2020年项目，随着学校指导文件调整进行更改，最终解释权归园艺园林学院所有。</w:t>
      </w:r>
    </w:p>
    <w:p>
      <w:pPr>
        <w:numPr>
          <w:ilvl w:val="0"/>
          <w:numId w:val="0"/>
        </w:numPr>
        <w:ind w:leftChars="0"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园艺园林学院</w:t>
      </w:r>
    </w:p>
    <w:p>
      <w:pPr>
        <w:numPr>
          <w:ilvl w:val="0"/>
          <w:numId w:val="0"/>
        </w:numPr>
        <w:ind w:leftChars="0"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2021年10月7日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黑龙江八一农垦大学科研团队、平台支持计划管理办法（试行）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第二章 科研团队发展计划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第六条 团队考核标准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（一）学校对科研创新团队实行合同制管理。每年组织专家对科研创新团队进行考核，审查科研创新团队研究工作报告，检查研究工作进展，考核科研创新团队负责人工作情况等。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（二）团队研究成果应标注“黑龙江八一农垦大学科研团队、平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台支持计划”和编号，且第一单位应为黑龙江八一农垦大学。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（三）团队在1年资助期内取得下列条件之一为考核通过。考核通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过的团队给予连续资助，最多可连续资助3年。未取得下列条件之一的团队不予连续资助，指标用于下一年度团队资助。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（四）成果认定日期为当年1月1日到12月31日。成果不得在校内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其他科研支持计划中重复使用。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自然科学类：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1．自然科学团队发表SCI、EI收录论文5篇以上或影响因子5.0以上1篇或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3.0以上2篇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（论文不得重复计算）；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2．获得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国家自然科学基金项目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或同级别项目1项；成果转化服务到位经费80万以上。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获省部级二等奖以上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（第1名有效）。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4．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授权发明专利2项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（第1名有效）。 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5．申请立项国家或行业标准1项。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22564C"/>
    <w:multiLevelType w:val="singleLevel"/>
    <w:tmpl w:val="112256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8CB056"/>
    <w:multiLevelType w:val="singleLevel"/>
    <w:tmpl w:val="578CB056"/>
    <w:lvl w:ilvl="0" w:tentative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3125E"/>
    <w:rsid w:val="04E3125E"/>
    <w:rsid w:val="0A55744D"/>
    <w:rsid w:val="15E37623"/>
    <w:rsid w:val="251B7431"/>
    <w:rsid w:val="302F3C40"/>
    <w:rsid w:val="31DF59C3"/>
    <w:rsid w:val="4BBA7E94"/>
    <w:rsid w:val="6A28222B"/>
    <w:rsid w:val="712438AB"/>
    <w:rsid w:val="72CA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2021-06-30T08:19:00Z</dcterms:created>
  <dc:creator>sheng</dc:creator>
  <cp:lastModifiedBy>Administrator</cp:lastModifiedBy>
  <cp:lastPrinted>2021-10-07T01:31:15Z</cp:lastPrinted>
  <dcterms:modified xsi:type="dcterms:W3CDTF">2021-10-07T01:36:21Z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D65ECC5BADA14E7FB08007A775E519AD</vt:lpwstr>
  </property>
</Properties>
</file>